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F69" w:rsidRDefault="00224F69" w:rsidP="00224F69">
      <w:pPr>
        <w:autoSpaceDE w:val="0"/>
        <w:autoSpaceDN w:val="0"/>
        <w:adjustRightInd w:val="0"/>
        <w:jc w:val="both"/>
        <w:rPr>
          <w:sz w:val="28"/>
          <w:szCs w:val="28"/>
        </w:rPr>
      </w:pPr>
    </w:p>
    <w:p w:rsidR="00224F69" w:rsidRDefault="00224F69" w:rsidP="00224F69">
      <w:pPr>
        <w:autoSpaceDE w:val="0"/>
        <w:autoSpaceDN w:val="0"/>
        <w:adjustRightInd w:val="0"/>
        <w:jc w:val="both"/>
        <w:rPr>
          <w:sz w:val="28"/>
          <w:szCs w:val="28"/>
        </w:rPr>
      </w:pPr>
    </w:p>
    <w:p w:rsidR="00224F69" w:rsidRPr="00224F69" w:rsidRDefault="00224F69" w:rsidP="00224F69">
      <w:pPr>
        <w:autoSpaceDE w:val="0"/>
        <w:autoSpaceDN w:val="0"/>
        <w:adjustRightInd w:val="0"/>
        <w:jc w:val="center"/>
        <w:rPr>
          <w:b/>
          <w:sz w:val="36"/>
          <w:szCs w:val="36"/>
        </w:rPr>
      </w:pPr>
      <w:r w:rsidRPr="00224F69">
        <w:rPr>
          <w:b/>
          <w:sz w:val="36"/>
          <w:szCs w:val="36"/>
        </w:rPr>
        <w:t>Komunikat do właścicieli i zarządców placów zabaw</w:t>
      </w:r>
    </w:p>
    <w:p w:rsidR="00224F69" w:rsidRDefault="00224F69" w:rsidP="00224F69">
      <w:pPr>
        <w:autoSpaceDE w:val="0"/>
        <w:autoSpaceDN w:val="0"/>
        <w:adjustRightInd w:val="0"/>
        <w:jc w:val="both"/>
        <w:rPr>
          <w:sz w:val="28"/>
          <w:szCs w:val="28"/>
        </w:rPr>
      </w:pPr>
    </w:p>
    <w:p w:rsidR="00224F69" w:rsidRPr="00224F69" w:rsidRDefault="00224F69" w:rsidP="00224F69">
      <w:pPr>
        <w:autoSpaceDE w:val="0"/>
        <w:autoSpaceDN w:val="0"/>
        <w:adjustRightInd w:val="0"/>
        <w:jc w:val="both"/>
        <w:rPr>
          <w:sz w:val="28"/>
          <w:szCs w:val="28"/>
        </w:rPr>
      </w:pPr>
      <w:r w:rsidRPr="00224F69">
        <w:rPr>
          <w:sz w:val="28"/>
          <w:szCs w:val="28"/>
        </w:rPr>
        <w:t>Powiatowy Inspektor Nadzoru Budowlanego w Tczewie przypomina właścicielom oraz zarządcom nieruchomości o ciążącym na nich ustawowym obowiązku zapewnienia stałego bezpieczeństwa użytkowania placów zabaw i</w:t>
      </w:r>
      <w:r w:rsidR="006162F9">
        <w:rPr>
          <w:sz w:val="28"/>
          <w:szCs w:val="28"/>
        </w:rPr>
        <w:t> </w:t>
      </w:r>
      <w:r w:rsidRPr="00224F69">
        <w:rPr>
          <w:sz w:val="28"/>
          <w:szCs w:val="28"/>
        </w:rPr>
        <w:t xml:space="preserve">innych miejsc służących rekreacji, przeznaczonych przede wszystkim dla dzieci i młodzieży. Obowiązek utrzymywania w należytym stanie technicznym oraz bezpiecznego użytkowania obiektów budowlanych wynika z </w:t>
      </w:r>
      <w:r w:rsidRPr="00224F69">
        <w:rPr>
          <w:i/>
          <w:iCs/>
          <w:sz w:val="28"/>
          <w:szCs w:val="28"/>
        </w:rPr>
        <w:t>ustawy – Prawo budowlane.</w:t>
      </w:r>
      <w:r w:rsidRPr="00224F69">
        <w:rPr>
          <w:sz w:val="28"/>
          <w:szCs w:val="28"/>
        </w:rPr>
        <w:t xml:space="preserve"> Zgodnie art. 61 pkt 1 </w:t>
      </w:r>
      <w:r w:rsidRPr="00224F69">
        <w:rPr>
          <w:i/>
          <w:iCs/>
          <w:sz w:val="28"/>
          <w:szCs w:val="28"/>
        </w:rPr>
        <w:t xml:space="preserve">ustawy – Prawo budowlane </w:t>
      </w:r>
      <w:r w:rsidRPr="00224F69">
        <w:rPr>
          <w:sz w:val="28"/>
          <w:szCs w:val="28"/>
        </w:rPr>
        <w:t>właściciele i zarządcy nieruchomości są obowiązani do utrzymywania i użytkowania obiektów zgodnie z zasadami, o których mowa w art. 5 ust. 2 ustawy (obiekt budowlany należy użytkować w sposób zgodny z jego przeznaczeniem i</w:t>
      </w:r>
      <w:r w:rsidR="006162F9">
        <w:rPr>
          <w:sz w:val="28"/>
          <w:szCs w:val="28"/>
        </w:rPr>
        <w:t> </w:t>
      </w:r>
      <w:r w:rsidRPr="00224F69">
        <w:rPr>
          <w:sz w:val="28"/>
          <w:szCs w:val="28"/>
        </w:rPr>
        <w:t>wymaganiami ochrony środowiska oraz utrzymywać w należytym stanie technicznym i estetycznym, nie dopuszczając do nadmiernego pogorszenia jego właściwości użytkowych i sprawności technicznej).</w:t>
      </w:r>
    </w:p>
    <w:p w:rsidR="00224F69" w:rsidRPr="00224F69" w:rsidRDefault="00224F69" w:rsidP="00224F69">
      <w:pPr>
        <w:autoSpaceDE w:val="0"/>
        <w:autoSpaceDN w:val="0"/>
        <w:adjustRightInd w:val="0"/>
        <w:jc w:val="both"/>
        <w:rPr>
          <w:sz w:val="28"/>
          <w:szCs w:val="28"/>
        </w:rPr>
      </w:pPr>
      <w:r w:rsidRPr="00224F69">
        <w:rPr>
          <w:sz w:val="28"/>
          <w:szCs w:val="28"/>
        </w:rPr>
        <w:t xml:space="preserve">Zwraca się  uwagę, że zgodnie z </w:t>
      </w:r>
      <w:r w:rsidRPr="00224F69">
        <w:rPr>
          <w:i/>
          <w:iCs/>
          <w:sz w:val="28"/>
          <w:szCs w:val="28"/>
        </w:rPr>
        <w:t xml:space="preserve">ustawą – Prawo budowlane </w:t>
      </w:r>
      <w:r w:rsidRPr="00224F69">
        <w:rPr>
          <w:sz w:val="28"/>
          <w:szCs w:val="28"/>
        </w:rPr>
        <w:t>obiektami budowlanym są również obiekty małej architektury umieszczone na placach zabaw i w innych miejscach rekreacji, m. in. huśtawki, piaskownice, drabinki oraz karuzele, zjeżdżalnie, urządzenia wspinaczkowe, bramki. Właściciele i</w:t>
      </w:r>
      <w:r w:rsidR="006162F9">
        <w:rPr>
          <w:sz w:val="28"/>
          <w:szCs w:val="28"/>
        </w:rPr>
        <w:t> </w:t>
      </w:r>
      <w:r w:rsidRPr="00224F69">
        <w:rPr>
          <w:sz w:val="28"/>
          <w:szCs w:val="28"/>
        </w:rPr>
        <w:t>zarządcy nieruchomości mają zatem obowiązek utrzymywania ich w należytym stanie technicznym, co wiąże się z wykonywaniem napraw i</w:t>
      </w:r>
      <w:r w:rsidR="006162F9">
        <w:rPr>
          <w:sz w:val="28"/>
          <w:szCs w:val="28"/>
        </w:rPr>
        <w:t> </w:t>
      </w:r>
      <w:r w:rsidRPr="00224F69">
        <w:rPr>
          <w:sz w:val="28"/>
          <w:szCs w:val="28"/>
        </w:rPr>
        <w:t>remontów, oraz poddawania bieżącej kontroli pod względem bezpieczeństwa użytkowania.</w:t>
      </w:r>
    </w:p>
    <w:p w:rsidR="00224F69" w:rsidRDefault="00224F69" w:rsidP="00224F69">
      <w:pPr>
        <w:jc w:val="both"/>
        <w:rPr>
          <w:sz w:val="28"/>
          <w:szCs w:val="28"/>
        </w:rPr>
      </w:pPr>
      <w:r w:rsidRPr="00224F69">
        <w:rPr>
          <w:sz w:val="28"/>
          <w:szCs w:val="28"/>
        </w:rPr>
        <w:t xml:space="preserve">Ponadto informuję, że zgodnie z art. 91a </w:t>
      </w:r>
      <w:r w:rsidRPr="00224F69">
        <w:rPr>
          <w:i/>
          <w:iCs/>
          <w:sz w:val="28"/>
          <w:szCs w:val="28"/>
        </w:rPr>
        <w:t xml:space="preserve">ustawy – Prawo budowlane, </w:t>
      </w:r>
      <w:r w:rsidRPr="00224F69">
        <w:rPr>
          <w:sz w:val="28"/>
          <w:szCs w:val="28"/>
        </w:rPr>
        <w:t xml:space="preserve">kto nie spełnia określonego w art. 61 obowiązku utrzymania obiektu budowlanego w należytym stanie technicznym lub nie zapewnia bezpieczeństwa użytkowania obiektu budowlanego podlega grzywnie, karze ograniczenia wolności albo pozbawienia wolności do roku. Natomiast szczegółowe wymagania stawiane urządzeniom służącym rekreacji na placach zabaw, sposoby ich montażu zapewniające bezpieczne ich użytkowanie znajdują się w Polskich Normach z grupy PN-EN 1176:2009 </w:t>
      </w:r>
      <w:r w:rsidRPr="00224F69">
        <w:rPr>
          <w:i/>
          <w:iCs/>
          <w:sz w:val="28"/>
          <w:szCs w:val="28"/>
        </w:rPr>
        <w:t>Wyposażenie placów</w:t>
      </w:r>
      <w:r w:rsidRPr="00224F69">
        <w:rPr>
          <w:sz w:val="28"/>
          <w:szCs w:val="28"/>
        </w:rPr>
        <w:t xml:space="preserve"> ,</w:t>
      </w:r>
      <w:r w:rsidRPr="00224F69">
        <w:rPr>
          <w:i/>
          <w:iCs/>
          <w:sz w:val="28"/>
          <w:szCs w:val="28"/>
        </w:rPr>
        <w:t xml:space="preserve">zabaw i nawierzchnie, </w:t>
      </w:r>
      <w:r w:rsidRPr="00224F69">
        <w:rPr>
          <w:sz w:val="28"/>
          <w:szCs w:val="28"/>
        </w:rPr>
        <w:t xml:space="preserve">w tym PN-EN 1176-7:2009 </w:t>
      </w:r>
      <w:r w:rsidRPr="00224F69">
        <w:rPr>
          <w:i/>
          <w:iCs/>
          <w:sz w:val="28"/>
          <w:szCs w:val="28"/>
        </w:rPr>
        <w:t>Wyposażenie placów zabaw</w:t>
      </w:r>
      <w:r w:rsidRPr="00224F69">
        <w:rPr>
          <w:sz w:val="28"/>
          <w:szCs w:val="28"/>
        </w:rPr>
        <w:t xml:space="preserve"> </w:t>
      </w:r>
      <w:r w:rsidRPr="00224F69">
        <w:rPr>
          <w:i/>
          <w:iCs/>
          <w:sz w:val="28"/>
          <w:szCs w:val="28"/>
        </w:rPr>
        <w:t>i nawierzchnie – Część 7: Wytyczne instalowania, kontroli, konserwacji i eksploatacji</w:t>
      </w:r>
      <w:r w:rsidRPr="00224F69">
        <w:rPr>
          <w:sz w:val="28"/>
          <w:szCs w:val="28"/>
        </w:rPr>
        <w:t>.</w:t>
      </w:r>
    </w:p>
    <w:p w:rsidR="00A07C49" w:rsidRDefault="00A07C49" w:rsidP="00224F69">
      <w:pPr>
        <w:jc w:val="both"/>
        <w:rPr>
          <w:sz w:val="28"/>
          <w:szCs w:val="28"/>
        </w:rPr>
      </w:pPr>
    </w:p>
    <w:p w:rsidR="006162F9" w:rsidRDefault="006162F9" w:rsidP="00224F69">
      <w:pPr>
        <w:jc w:val="both"/>
        <w:rPr>
          <w:rStyle w:val="Pogrubienie"/>
          <w:rFonts w:ascii="Arial" w:hAnsi="Arial" w:cs="Arial"/>
          <w:b w:val="0"/>
          <w:bCs w:val="0"/>
          <w:color w:val="010101"/>
          <w:sz w:val="21"/>
          <w:szCs w:val="21"/>
          <w:shd w:val="clear" w:color="auto" w:fill="FFFFFF"/>
        </w:rPr>
      </w:pPr>
      <w:r>
        <w:rPr>
          <w:rFonts w:ascii="Arial" w:hAnsi="Arial" w:cs="Arial"/>
          <w:color w:val="010101"/>
          <w:sz w:val="21"/>
          <w:szCs w:val="21"/>
          <w:shd w:val="clear" w:color="auto" w:fill="FFFFFF"/>
        </w:rPr>
        <w:t>Zgodnie z art. 62 ust. 1 pkt 1 ustawy z dnia 7 lipca 1994r. Prawo budowlane, (t. j. Dz. U. z 2010r. Nr 243 poz.1623) </w:t>
      </w:r>
      <w:r>
        <w:rPr>
          <w:rStyle w:val="Pogrubienie"/>
          <w:rFonts w:ascii="Arial" w:hAnsi="Arial" w:cs="Arial"/>
          <w:b w:val="0"/>
          <w:bCs w:val="0"/>
          <w:color w:val="010101"/>
          <w:sz w:val="21"/>
          <w:szCs w:val="21"/>
          <w:shd w:val="clear" w:color="auto" w:fill="FFFFFF"/>
        </w:rPr>
        <w:t>właściciel lub zarządca zobowiązany jest do poddawania obiektów małej architektury na placach zabaw okresowej: rocznej i pięcioletniej kontroli.</w:t>
      </w:r>
    </w:p>
    <w:p w:rsidR="00A07C49" w:rsidRDefault="00A07C49" w:rsidP="00224F69">
      <w:pPr>
        <w:jc w:val="both"/>
        <w:rPr>
          <w:rStyle w:val="Pogrubienie"/>
          <w:rFonts w:ascii="Arial" w:hAnsi="Arial" w:cs="Arial"/>
          <w:b w:val="0"/>
          <w:bCs w:val="0"/>
          <w:color w:val="010101"/>
          <w:sz w:val="21"/>
          <w:szCs w:val="21"/>
          <w:shd w:val="clear" w:color="auto" w:fill="FFFFFF"/>
        </w:rPr>
      </w:pPr>
    </w:p>
    <w:p w:rsidR="00A07C49" w:rsidRDefault="00A07C49" w:rsidP="00A07C49">
      <w:pPr>
        <w:pStyle w:val="NormalnyWeb"/>
        <w:ind w:left="2880"/>
        <w:jc w:val="center"/>
      </w:pPr>
      <w:r>
        <w:rPr>
          <w:sz w:val="21"/>
          <w:szCs w:val="21"/>
        </w:rPr>
        <w:t>Powiatowy Inspektor Nadzoru Budowlanego</w:t>
      </w:r>
    </w:p>
    <w:p w:rsidR="00A07C49" w:rsidRDefault="00A07C49" w:rsidP="00A07C49">
      <w:pPr>
        <w:pStyle w:val="NormalnyWeb"/>
        <w:ind w:left="2880"/>
        <w:jc w:val="center"/>
      </w:pPr>
      <w:r>
        <w:rPr>
          <w:sz w:val="21"/>
          <w:szCs w:val="21"/>
        </w:rPr>
        <w:t>/-/ Leszek Lewiński</w:t>
      </w:r>
      <w:r>
        <w:t> </w:t>
      </w:r>
    </w:p>
    <w:p w:rsidR="00A07C49" w:rsidRPr="00224F69" w:rsidRDefault="00A07C49" w:rsidP="00A07C49">
      <w:pPr>
        <w:pStyle w:val="NormalnyWeb"/>
        <w:rPr>
          <w:sz w:val="28"/>
          <w:szCs w:val="28"/>
        </w:rPr>
      </w:pPr>
      <w:r>
        <w:rPr>
          <w:sz w:val="21"/>
          <w:szCs w:val="21"/>
        </w:rPr>
        <w:t xml:space="preserve">Tczew, dnia </w:t>
      </w:r>
      <w:r w:rsidR="00E47D38">
        <w:rPr>
          <w:sz w:val="21"/>
          <w:szCs w:val="21"/>
        </w:rPr>
        <w:t>25 maja</w:t>
      </w:r>
      <w:bookmarkStart w:id="0" w:name="_GoBack"/>
      <w:bookmarkEnd w:id="0"/>
      <w:r>
        <w:rPr>
          <w:sz w:val="21"/>
          <w:szCs w:val="21"/>
        </w:rPr>
        <w:t xml:space="preserve"> 2022 r. </w:t>
      </w:r>
    </w:p>
    <w:sectPr w:rsidR="00A07C49" w:rsidRPr="00224F69" w:rsidSect="00A07C49">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C49"/>
    <w:rsid w:val="00224F69"/>
    <w:rsid w:val="006162F9"/>
    <w:rsid w:val="00A07C49"/>
    <w:rsid w:val="00C234B4"/>
    <w:rsid w:val="00E47D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A7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uiPriority w:val="22"/>
    <w:qFormat/>
    <w:rsid w:val="006162F9"/>
    <w:rPr>
      <w:b/>
      <w:bCs/>
    </w:rPr>
  </w:style>
  <w:style w:type="paragraph" w:styleId="NormalnyWeb">
    <w:name w:val="Normal (Web)"/>
    <w:basedOn w:val="Normalny"/>
    <w:uiPriority w:val="99"/>
    <w:unhideWhenUsed/>
    <w:rsid w:val="00A07C4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uiPriority w:val="22"/>
    <w:qFormat/>
    <w:rsid w:val="006162F9"/>
    <w:rPr>
      <w:b/>
      <w:bCs/>
    </w:rPr>
  </w:style>
  <w:style w:type="paragraph" w:styleId="NormalnyWeb">
    <w:name w:val="Normal (Web)"/>
    <w:basedOn w:val="Normalny"/>
    <w:uiPriority w:val="99"/>
    <w:unhideWhenUsed/>
    <w:rsid w:val="00A07C4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6811">
      <w:bodyDiv w:val="1"/>
      <w:marLeft w:val="0"/>
      <w:marRight w:val="0"/>
      <w:marTop w:val="0"/>
      <w:marBottom w:val="0"/>
      <w:divBdr>
        <w:top w:val="none" w:sz="0" w:space="0" w:color="auto"/>
        <w:left w:val="none" w:sz="0" w:space="0" w:color="auto"/>
        <w:bottom w:val="none" w:sz="0" w:space="0" w:color="auto"/>
        <w:right w:val="none" w:sz="0" w:space="0" w:color="auto"/>
      </w:divBdr>
      <w:divsChild>
        <w:div w:id="165823861">
          <w:marLeft w:val="0"/>
          <w:marRight w:val="0"/>
          <w:marTop w:val="0"/>
          <w:marBottom w:val="0"/>
          <w:divBdr>
            <w:top w:val="none" w:sz="0" w:space="0" w:color="auto"/>
            <w:left w:val="none" w:sz="0" w:space="0" w:color="auto"/>
            <w:bottom w:val="none" w:sz="0" w:space="0" w:color="auto"/>
            <w:right w:val="none" w:sz="0" w:space="0" w:color="auto"/>
          </w:divBdr>
          <w:divsChild>
            <w:div w:id="423846549">
              <w:marLeft w:val="0"/>
              <w:marRight w:val="0"/>
              <w:marTop w:val="0"/>
              <w:marBottom w:val="0"/>
              <w:divBdr>
                <w:top w:val="none" w:sz="0" w:space="0" w:color="auto"/>
                <w:left w:val="none" w:sz="0" w:space="0" w:color="auto"/>
                <w:bottom w:val="none" w:sz="0" w:space="0" w:color="auto"/>
                <w:right w:val="none" w:sz="0" w:space="0" w:color="auto"/>
              </w:divBdr>
            </w:div>
          </w:divsChild>
        </w:div>
        <w:div w:id="94931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iatr\Downloads\Komunikat_do_w&#322;a&#347;cicieli_i_zarz&#261;dc&#243;w_plac&#243;w_zabaw.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Komunikat_do_właścicieli_i_zarządców_placów_zabaw.dotx</Template>
  <TotalTime>5</TotalTime>
  <Pages>1</Pages>
  <Words>359</Words>
  <Characters>2157</Characters>
  <Application>Microsoft Office Word</Application>
  <DocSecurity>0</DocSecurity>
  <Lines>17</Lines>
  <Paragraphs>5</Paragraphs>
  <ScaleCrop>false</ScaleCrop>
  <HeadingPairs>
    <vt:vector size="2" baseType="variant">
      <vt:variant>
        <vt:lpstr>Tytuł</vt:lpstr>
      </vt:variant>
      <vt:variant>
        <vt:i4>1</vt:i4>
      </vt:variant>
    </vt:vector>
  </HeadingPairs>
  <TitlesOfParts>
    <vt:vector size="1" baseType="lpstr">
      <vt:lpstr>Komunikat do właścicieli i zarządców placów zabaw</vt:lpstr>
    </vt:vector>
  </TitlesOfParts>
  <Company>PINB</Company>
  <LinksUpToDate>false</LinksUpToDate>
  <CharactersWithSpaces>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Komunikat do właścicieli i zarządców placów zabaw</dc:title>
  <dc:creator>Mikołaj Wiatr</dc:creator>
  <cp:lastModifiedBy>Mikołaj Wiatr</cp:lastModifiedBy>
  <cp:revision>2</cp:revision>
  <dcterms:created xsi:type="dcterms:W3CDTF">2022-06-09T07:14:00Z</dcterms:created>
  <dcterms:modified xsi:type="dcterms:W3CDTF">2022-06-09T07:19:00Z</dcterms:modified>
</cp:coreProperties>
</file>